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ZASADY ROZLICZANIA GRANTU, MONITORINGU I KONTROLI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Grant w wysokości określonej w § 2 umowy udzielenia grantu zostanie wypłacony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w terminie 30 dni od dnia podjęcia przez Zarząd LGD uchwały dotyczącej ostatecznego zatwierdzenia wniosku o płatność wraz ze sprawozdaniem końcowym </w:t>
      </w:r>
      <w:r>
        <w:rPr>
          <w:rFonts w:ascii="Times New Roman" w:hAnsi="Times New Roman" w:cs="Times New Roman"/>
        </w:rPr>
        <w:br/>
        <w:t xml:space="preserve">z realizacji </w:t>
      </w:r>
      <w:r>
        <w:rPr>
          <w:rFonts w:ascii="Times New Roman" w:hAnsi="Times New Roman" w:cs="Times New Roman"/>
        </w:rPr>
        <w:t>zadań objętych grantem</w:t>
      </w:r>
      <w:r>
        <w:rPr>
          <w:rFonts w:ascii="Times New Roman" w:hAnsi="Times New Roman" w:cs="Times New Roman"/>
        </w:rPr>
        <w:t xml:space="preserve">. </w:t>
      </w:r>
    </w:p>
    <w:p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LGD uzna za </w:t>
      </w:r>
      <w:proofErr w:type="spellStart"/>
      <w:r>
        <w:rPr>
          <w:rFonts w:ascii="Times New Roman" w:hAnsi="Times New Roman" w:cs="Times New Roman"/>
        </w:rPr>
        <w:t>kwalifikowalne</w:t>
      </w:r>
      <w:proofErr w:type="spellEnd"/>
      <w:r>
        <w:rPr>
          <w:rFonts w:ascii="Times New Roman" w:hAnsi="Times New Roman" w:cs="Times New Roman"/>
        </w:rPr>
        <w:t xml:space="preserve"> udokumentowane koszty związane z realizacją grantu zgodnie </w:t>
      </w:r>
      <w:r>
        <w:rPr>
          <w:rFonts w:ascii="Times New Roman" w:hAnsi="Times New Roman" w:cs="Times New Roman"/>
        </w:rPr>
        <w:br/>
        <w:t xml:space="preserve">z Zestawieniem rzeczowo-finansowym poniesione w okresie </w:t>
      </w:r>
      <w:r>
        <w:rPr>
          <w:rFonts w:ascii="Times New Roman" w:hAnsi="Times New Roman" w:cs="Times New Roman"/>
        </w:rPr>
        <w:t>rozpoczynającym się w dniu podpisania umowy o powierzenie grantu do ostatniego dnia realizacji grantu, będącego dniem złożenia wniosku o płatność wraz ze sprawozdaniem końcowym. Okres realizacji grantu jest określany w sposób precyzyjny w umowie o powierzenie grantu (§ 3)</w:t>
      </w:r>
      <w:r>
        <w:rPr>
          <w:rFonts w:ascii="Times New Roman" w:hAnsi="Times New Roman" w:cs="Times New Roman"/>
        </w:rPr>
        <w:t>.</w:t>
      </w:r>
    </w:p>
    <w:p>
      <w:pPr>
        <w:pStyle w:val="Akapitzlist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mogą być ponoszone wyłącznie w formie rozliczenia bezgotówkowego.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uwzględnione w oddzielnym systemie rachunkowości albo do ich identyfikacji wykorzystano odpowiedni kod rachunkowy lub, gdy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jest obowiązany do prowadzenia ksiąg rachunkowyc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podstawie odrębnych przepisów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zestawienia </w:t>
      </w:r>
      <w:proofErr w:type="spellStart"/>
      <w:r>
        <w:rPr>
          <w:rFonts w:ascii="Times New Roman" w:hAnsi="Times New Roman" w:cs="Times New Roman"/>
        </w:rPr>
        <w:t>faktur</w:t>
      </w:r>
      <w:proofErr w:type="spellEnd"/>
      <w:r>
        <w:rPr>
          <w:rFonts w:ascii="Times New Roman" w:hAnsi="Times New Roman" w:cs="Times New Roman"/>
        </w:rPr>
        <w:t xml:space="preserve"> lub równoważnych dokumentów księgowych </w:t>
      </w:r>
      <w:r>
        <w:rPr>
          <w:rFonts w:ascii="Times New Roman" w:hAnsi="Times New Roman" w:cs="Times New Roman"/>
        </w:rPr>
        <w:t xml:space="preserve">sporządzonego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formularzu udostępnionym przez LGD.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Oryginalne dokumenty </w:t>
      </w:r>
      <w:r>
        <w:rPr>
          <w:rFonts w:ascii="Times New Roman" w:hAnsi="Times New Roman" w:cs="Times New Roman"/>
        </w:rPr>
        <w:t xml:space="preserve">będące potwierdzeniem poniesionych kosztów </w:t>
      </w:r>
      <w:r>
        <w:rPr>
          <w:rFonts w:ascii="Times New Roman" w:hAnsi="Times New Roman" w:cs="Times New Roman"/>
        </w:rPr>
        <w:t>(faktury, rachunki</w:t>
      </w:r>
      <w:r>
        <w:rPr>
          <w:rFonts w:ascii="Times New Roman" w:hAnsi="Times New Roman" w:cs="Times New Roman"/>
        </w:rPr>
        <w:t>, dowody dokonania płatności</w:t>
      </w:r>
      <w:r>
        <w:rPr>
          <w:rFonts w:ascii="Times New Roman" w:hAnsi="Times New Roman" w:cs="Times New Roman"/>
        </w:rPr>
        <w:t>) dotyczące realizowanej Umowy powinny ponadto: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posiadać  oznaczenie źródeł finansowania tj. zapis „</w:t>
      </w:r>
      <w:r>
        <w:rPr>
          <w:rFonts w:ascii="Times New Roman" w:hAnsi="Times New Roman" w:cs="Times New Roman"/>
          <w:b/>
        </w:rPr>
        <w:t xml:space="preserve">sfinansowano w ramach </w:t>
      </w:r>
      <w:proofErr w:type="spellStart"/>
      <w:r>
        <w:rPr>
          <w:rFonts w:ascii="Times New Roman" w:hAnsi="Times New Roman" w:cs="Times New Roman"/>
          <w:b/>
        </w:rPr>
        <w:t>poddziałania</w:t>
      </w:r>
      <w:proofErr w:type="spellEnd"/>
      <w:r>
        <w:rPr>
          <w:rFonts w:ascii="Times New Roman" w:hAnsi="Times New Roman" w:cs="Times New Roman"/>
          <w:b/>
        </w:rPr>
        <w:t xml:space="preserve"> „Wsparcie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wdrażanie operacji w ramach strategii </w:t>
      </w:r>
      <w:proofErr w:type="spellStart"/>
      <w:r>
        <w:rPr>
          <w:rFonts w:ascii="Times New Roman" w:hAnsi="Times New Roman" w:cs="Times New Roman"/>
          <w:b/>
        </w:rPr>
        <w:t>rozwoju</w:t>
      </w:r>
      <w:proofErr w:type="spellEnd"/>
      <w:r>
        <w:rPr>
          <w:rFonts w:ascii="Times New Roman" w:hAnsi="Times New Roman" w:cs="Times New Roman"/>
          <w:b/>
        </w:rPr>
        <w:t xml:space="preserve"> lokalnego kierowanego przez społeczność” objętego Programem Rozwoju Obszarów Wiejskich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lata 2014-2020 dla operacji realizowanych w ramach projektu grantowego</w:t>
      </w:r>
      <w:r>
        <w:rPr>
          <w:rFonts w:ascii="Times New Roman" w:hAnsi="Times New Roman" w:cs="Times New Roman"/>
        </w:rPr>
        <w:t>”,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zatwierdzone pod względem merytorycznym i formalno – rachunkowym,</w:t>
      </w:r>
    </w:p>
    <w:p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być opisane (w jakim celu zostały poniesione – zgodnie z zestawieniem rzeczowo-finansowym</w:t>
      </w:r>
      <w:r>
        <w:rPr>
          <w:rFonts w:ascii="Times New Roman" w:hAnsi="Times New Roman" w:cs="Times New Roman"/>
        </w:rPr>
        <w:t xml:space="preserve"> wynikającym z wniosku będącego załącznikiem do umowy o powierzenie grantu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ponoszone zgodnie z przepisami o zamówieniach publicznych lub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wyniku wyboru najkorzystniejszej oferty w zakresie danego zadania ujętego w zestawieniu rzeczowo-finansowym spośród ofert otrzymanych od co najmniej 3 niepowiązanych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</w:t>
      </w:r>
      <w:proofErr w:type="spellStart"/>
      <w:r>
        <w:rPr>
          <w:rFonts w:ascii="Times New Roman" w:hAnsi="Times New Roman" w:cs="Times New Roman"/>
        </w:rPr>
        <w:t>grantobiorcą</w:t>
      </w:r>
      <w:proofErr w:type="spellEnd"/>
      <w:r>
        <w:rPr>
          <w:rFonts w:ascii="Times New Roman" w:hAnsi="Times New Roman" w:cs="Times New Roman"/>
        </w:rPr>
        <w:t xml:space="preserve"> osobowo lub kapitałowo dostawców lub wykonawców,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Koszty powinny być księgowane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bieżąco.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terminie określonym w umowie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składa wniosek o płatność wraz </w:t>
      </w:r>
      <w:r>
        <w:rPr>
          <w:rFonts w:ascii="Times New Roman" w:hAnsi="Times New Roman" w:cs="Times New Roman"/>
        </w:rPr>
        <w:br/>
        <w:t xml:space="preserve">ze sprawozdaniem końcowym z realizacji </w:t>
      </w:r>
      <w:r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formularzu udostępnionym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stronie internetowej</w:t>
      </w:r>
      <w:r>
        <w:rPr>
          <w:rFonts w:ascii="Times New Roman" w:hAnsi="Times New Roman" w:cs="Times New Roman"/>
        </w:rPr>
        <w:t xml:space="preserve"> LGD</w:t>
      </w:r>
      <w:r>
        <w:rPr>
          <w:rFonts w:ascii="Times New Roman" w:hAnsi="Times New Roman" w:cs="Times New Roman"/>
        </w:rPr>
        <w:t xml:space="preserve">. </w:t>
      </w:r>
    </w:p>
    <w:p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etapie składania wniosku o płatność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powinien </w:t>
      </w:r>
      <w:r>
        <w:rPr>
          <w:rFonts w:ascii="Times New Roman" w:hAnsi="Times New Roman" w:cs="Times New Roman"/>
        </w:rPr>
        <w:t xml:space="preserve">załączyć </w:t>
      </w:r>
      <w:r>
        <w:rPr>
          <w:rFonts w:ascii="Times New Roman" w:hAnsi="Times New Roman" w:cs="Times New Roman"/>
        </w:rPr>
        <w:t>indywidualną interpretację w zakresie podatku VAT</w:t>
      </w:r>
      <w:r>
        <w:rPr>
          <w:rFonts w:ascii="Times New Roman" w:hAnsi="Times New Roman" w:cs="Times New Roman"/>
        </w:rPr>
        <w:t>, wystawioną przez Izbę Skarbową</w:t>
      </w:r>
      <w:r>
        <w:rPr>
          <w:rFonts w:ascii="Times New Roman" w:hAnsi="Times New Roman" w:cs="Times New Roman"/>
        </w:rPr>
        <w:t>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MONITORING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przeprowadzany jest przez pracownika LGD</w:t>
      </w:r>
      <w:r>
        <w:rPr>
          <w:rFonts w:ascii="Times New Roman" w:hAnsi="Times New Roman" w:cs="Times New Roman"/>
        </w:rPr>
        <w:t xml:space="preserve"> w siedzibie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przeprowadzenia monitoringu ustala pracownik Biura LGD w porozumieniu </w:t>
      </w:r>
      <w:r>
        <w:rPr>
          <w:rFonts w:ascii="Times New Roman" w:hAnsi="Times New Roman" w:cs="Times New Roman"/>
        </w:rPr>
        <w:br/>
        <w:t xml:space="preserve">z </w:t>
      </w:r>
      <w:proofErr w:type="spellStart"/>
      <w:r>
        <w:rPr>
          <w:rFonts w:ascii="Times New Roman" w:hAnsi="Times New Roman" w:cs="Times New Roman"/>
        </w:rPr>
        <w:t>grantobiorcą</w:t>
      </w:r>
      <w:proofErr w:type="spellEnd"/>
      <w:r>
        <w:rPr>
          <w:rFonts w:ascii="Times New Roman" w:hAnsi="Times New Roman" w:cs="Times New Roman"/>
        </w:rPr>
        <w:t xml:space="preserve">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Monitoring ma dwa zakresy: finansowy i merytoryczny.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Monitoring finansowy dotyczy w szczególności wywiązywania się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z umowy udzielenia grantu i zasad rozliczania grantu (w tym </w:t>
      </w:r>
      <w:r>
        <w:rPr>
          <w:rFonts w:ascii="Times New Roman" w:hAnsi="Times New Roman" w:cs="Times New Roman"/>
        </w:rPr>
        <w:t xml:space="preserve">ponoszenie kosztów, forma zapłaty, </w:t>
      </w:r>
      <w:r>
        <w:rPr>
          <w:rFonts w:ascii="Times New Roman" w:hAnsi="Times New Roman" w:cs="Times New Roman"/>
        </w:rPr>
        <w:t xml:space="preserve">opisywanie dokumentów, konkurencyjność, realizacja części IV wniosku o </w:t>
      </w:r>
      <w:r>
        <w:rPr>
          <w:rFonts w:ascii="Times New Roman" w:hAnsi="Times New Roman" w:cs="Times New Roman"/>
        </w:rPr>
        <w:t>powierzenie grantu</w:t>
      </w:r>
      <w:r>
        <w:rPr>
          <w:rFonts w:ascii="Times New Roman" w:hAnsi="Times New Roman" w:cs="Times New Roman"/>
        </w:rPr>
        <w:t>).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merytoryczny dotyczy w szczególności wywiązywania się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z zapisów umowy </w:t>
      </w:r>
      <w:r>
        <w:rPr>
          <w:rFonts w:ascii="Times New Roman" w:hAnsi="Times New Roman" w:cs="Times New Roman"/>
        </w:rPr>
        <w:t xml:space="preserve">o powierzenie </w:t>
      </w:r>
      <w:r>
        <w:rPr>
          <w:rFonts w:ascii="Times New Roman" w:hAnsi="Times New Roman" w:cs="Times New Roman"/>
        </w:rPr>
        <w:t xml:space="preserve">grantu i wniosku o </w:t>
      </w:r>
      <w:r>
        <w:rPr>
          <w:rFonts w:ascii="Times New Roman" w:hAnsi="Times New Roman" w:cs="Times New Roman"/>
        </w:rPr>
        <w:t>powierzenie grantu</w:t>
      </w:r>
      <w:r>
        <w:rPr>
          <w:rFonts w:ascii="Times New Roman" w:hAnsi="Times New Roman" w:cs="Times New Roman"/>
        </w:rPr>
        <w:t xml:space="preserve">, w tym części II </w:t>
      </w:r>
      <w:r>
        <w:rPr>
          <w:rFonts w:ascii="Times New Roman" w:hAnsi="Times New Roman" w:cs="Times New Roman"/>
        </w:rPr>
        <w:t xml:space="preserve">tego </w:t>
      </w:r>
      <w:r>
        <w:rPr>
          <w:rFonts w:ascii="Times New Roman" w:hAnsi="Times New Roman" w:cs="Times New Roman"/>
        </w:rPr>
        <w:t xml:space="preserve">wniosku.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Monitoring przeprowadzany jest wg karty monitoringu.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Niezwłocznie po przeprowadzeniu monitoringu sporządzany jest protokół – w dwóch jednobrzmiących egzemplarzach. Obydwa egzemplarze przekazywane są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do podpisu.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powinien podpisać protokół w terminie 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>dni od dnia otrzymania protokołu</w:t>
      </w:r>
      <w:r>
        <w:rPr>
          <w:rFonts w:ascii="Times New Roman" w:hAnsi="Times New Roman" w:cs="Times New Roman"/>
        </w:rPr>
        <w:t xml:space="preserve"> oraz przekazać w tym terminie jeden egzemplarz protokołu do Biura LGD</w:t>
      </w:r>
      <w:r>
        <w:rPr>
          <w:rFonts w:ascii="Times New Roman" w:hAnsi="Times New Roman" w:cs="Times New Roman"/>
        </w:rPr>
        <w:t xml:space="preserve">. 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i zapisania w protokole nieprawidłowości w realizacji umowy </w:t>
      </w:r>
      <w:r>
        <w:rPr>
          <w:rFonts w:ascii="Times New Roman" w:hAnsi="Times New Roman" w:cs="Times New Roman"/>
        </w:rPr>
        <w:br/>
        <w:t xml:space="preserve">i wywiązywaniu się z jej postanowień, LGD wzywa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do złożenia wyjaśnień i/lub usunięcia nieprawidłowości i/lub wykonania zaleceń z monitoringu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terminie </w:t>
      </w:r>
      <w:r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 xml:space="preserve">dni </w:t>
      </w:r>
      <w:r>
        <w:rPr>
          <w:rFonts w:ascii="Times New Roman" w:hAnsi="Times New Roman" w:cs="Times New Roman"/>
        </w:rPr>
        <w:br/>
        <w:t>od podpisania protokołu.</w:t>
      </w:r>
    </w:p>
    <w:p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Niewykonanie zaleceń z monitoringu lub odmowa poddania się monitoringowi może stanowić przesłankę do rozwiązania umowy </w:t>
      </w:r>
      <w:r>
        <w:rPr>
          <w:rFonts w:ascii="Times New Roman" w:hAnsi="Times New Roman" w:cs="Times New Roman"/>
        </w:rPr>
        <w:t xml:space="preserve">o powierzenie </w:t>
      </w:r>
      <w:r>
        <w:rPr>
          <w:rFonts w:ascii="Times New Roman" w:hAnsi="Times New Roman" w:cs="Times New Roman"/>
        </w:rPr>
        <w:t xml:space="preserve">grantu zgodnie z § 7 tej umowy.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KONTROLA KOŃCOWA</w:t>
      </w:r>
      <w:r>
        <w:rPr>
          <w:rFonts w:ascii="Times New Roman" w:hAnsi="Times New Roman" w:cs="Times New Roman"/>
        </w:rPr>
        <w:t xml:space="preserve">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końcowa przeprowadzana jest przez pracownika LGD w siedzibie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po złożeniu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wniosku o płatność wraz ze sprawozdaniem końcowym </w:t>
      </w:r>
      <w:r>
        <w:rPr>
          <w:rFonts w:ascii="Times New Roman" w:hAnsi="Times New Roman" w:cs="Times New Roman"/>
        </w:rPr>
        <w:br/>
        <w:t xml:space="preserve">z realizacji </w:t>
      </w:r>
      <w:r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>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kontroli jest weryfikacja realizacji celu i wskaźników </w:t>
      </w:r>
      <w:r>
        <w:rPr>
          <w:rFonts w:ascii="Times New Roman" w:hAnsi="Times New Roman" w:cs="Times New Roman"/>
        </w:rPr>
        <w:t>zadania</w:t>
      </w:r>
      <w:r>
        <w:rPr>
          <w:rFonts w:ascii="Times New Roman" w:hAnsi="Times New Roman" w:cs="Times New Roman"/>
        </w:rPr>
        <w:t xml:space="preserve">, a także weryfikacja poniesionych kosztów i prawidłowości realizacji działań.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przeprowadzonej kontroli sporządza się protokół – w dwóch jednobrzmiących egzemplarzach. Obydwa egzemplarze przekazywane są </w:t>
      </w:r>
      <w:proofErr w:type="spellStart"/>
      <w:r>
        <w:rPr>
          <w:rFonts w:ascii="Times New Roman" w:hAnsi="Times New Roman" w:cs="Times New Roman"/>
        </w:rPr>
        <w:t>grantobiorcy</w:t>
      </w:r>
      <w:proofErr w:type="spellEnd"/>
      <w:r>
        <w:rPr>
          <w:rFonts w:ascii="Times New Roman" w:hAnsi="Times New Roman" w:cs="Times New Roman"/>
        </w:rPr>
        <w:t xml:space="preserve"> do podpisu.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powinien podpisać protokół w terminie 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 xml:space="preserve">dni od dnia otrzymania protokołu. 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wynik kontroli jak i weryfikacja wniosku o płatność są pozytywne – również </w:t>
      </w:r>
      <w:r>
        <w:rPr>
          <w:rFonts w:ascii="Times New Roman" w:hAnsi="Times New Roman" w:cs="Times New Roman"/>
        </w:rPr>
        <w:br/>
        <w:t xml:space="preserve">po złożeniu przez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wyjaśnień i/lub usunięciu nieprawidłowości i/lub wykonaniu zaleceń pokontrolnych, pracownik LGD rekomenduje Zarządowi LGD </w:t>
      </w:r>
      <w:r>
        <w:rPr>
          <w:rFonts w:ascii="Times New Roman" w:hAnsi="Times New Roman" w:cs="Times New Roman"/>
        </w:rPr>
        <w:t>rozliczenie objęte wnioskiem o płatność oraz sprawozdanie końcowe dotyczące danego grantu do zatwierdzenia stosowną uchwałą.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</w:t>
      </w:r>
      <w:r>
        <w:rPr>
          <w:rFonts w:ascii="Times New Roman" w:hAnsi="Times New Roman" w:cs="Times New Roman"/>
        </w:rPr>
        <w:t xml:space="preserve">w wyniku kontroli </w:t>
      </w:r>
      <w:r>
        <w:rPr>
          <w:rFonts w:ascii="Times New Roman" w:hAnsi="Times New Roman" w:cs="Times New Roman"/>
        </w:rPr>
        <w:t xml:space="preserve">nieprawidłowości w realizacji umowy </w:t>
      </w:r>
      <w:r>
        <w:rPr>
          <w:rFonts w:ascii="Times New Roman" w:hAnsi="Times New Roman" w:cs="Times New Roman"/>
        </w:rPr>
        <w:br/>
        <w:t xml:space="preserve">i wywiązywaniu się z jej postanowień LGD wzywa </w:t>
      </w:r>
      <w:proofErr w:type="spellStart"/>
      <w:r>
        <w:rPr>
          <w:rFonts w:ascii="Times New Roman" w:hAnsi="Times New Roman" w:cs="Times New Roman"/>
        </w:rPr>
        <w:t>grantobiorcę</w:t>
      </w:r>
      <w:proofErr w:type="spellEnd"/>
      <w:r>
        <w:rPr>
          <w:rFonts w:ascii="Times New Roman" w:hAnsi="Times New Roman" w:cs="Times New Roman"/>
        </w:rPr>
        <w:t xml:space="preserve"> do złożenia wyjaśnień i/lub usunięcia nieprawidłowości i/lub wykonania zaleceń pokontrolnych terminie </w:t>
      </w:r>
      <w:r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 xml:space="preserve">dni </w:t>
      </w:r>
      <w:r>
        <w:rPr>
          <w:rFonts w:ascii="Times New Roman" w:hAnsi="Times New Roman" w:cs="Times New Roman"/>
        </w:rPr>
        <w:br/>
        <w:t>od podpisania protokołu.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</w:t>
      </w:r>
      <w:proofErr w:type="spellStart"/>
      <w:r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nie złożył wyjaśnień i/lub nie usunął braków, LGD rozpatruje wniosek </w:t>
      </w:r>
      <w:r>
        <w:rPr>
          <w:rFonts w:ascii="Times New Roman" w:hAnsi="Times New Roman" w:cs="Times New Roman"/>
        </w:rPr>
        <w:br/>
        <w:t xml:space="preserve">o płatność w zakresie, w jakim został złożony do LGD oraz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podstawie dołączonych </w:t>
      </w:r>
      <w:r>
        <w:rPr>
          <w:rFonts w:ascii="Times New Roman" w:hAnsi="Times New Roman" w:cs="Times New Roman"/>
        </w:rPr>
        <w:br/>
        <w:t>do niego i poprawnie sporządzonych załączników</w:t>
      </w:r>
      <w:r>
        <w:rPr>
          <w:rFonts w:ascii="Times New Roman" w:hAnsi="Times New Roman" w:cs="Times New Roman"/>
        </w:rPr>
        <w:t>.</w:t>
      </w:r>
    </w:p>
    <w:p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Niewykonanie zaleceń pokontrolnych lub odmowa poddania się kontroli może stanowić przesłankę do rozwiązania umowy udzielenia grantu zgodnie z § 7 tej umowy. </w:t>
      </w:r>
      <w:bookmarkStart w:id="0" w:name="_GoBack"/>
      <w:bookmarkEnd w:id="0"/>
    </w:p>
    <w:sectPr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6636"/>
      <w:docPartObj>
        <w:docPartGallery w:val="Page Numbers (Bottom of Page)"/>
        <w:docPartUnique/>
      </w:docPartObj>
    </w:sdtPr>
    <w:sdtContent>
      <w:p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b/>
        <w:noProof/>
      </w:rPr>
    </w:pPr>
    <w:r>
      <w:rPr>
        <w:b/>
        <w:noProof/>
      </w:rPr>
      <w:drawing>
        <wp:inline distT="0" distB="0" distL="0" distR="0">
          <wp:extent cx="830580" cy="542925"/>
          <wp:effectExtent l="19050" t="0" r="7620" b="0"/>
          <wp:docPr id="4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1519126" cy="684000"/>
          <wp:effectExtent l="19050" t="0" r="4874" b="0"/>
          <wp:docPr id="2" name="Obraz 1" descr="logo_partnerstwo_sowiogor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nerstwo_sowiogorskie_K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9126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562501" cy="540000"/>
          <wp:effectExtent l="19050" t="0" r="8999" b="0"/>
          <wp:docPr id="5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501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           </w:t>
    </w:r>
    <w:r>
      <w:rPr>
        <w:b/>
        <w:noProof/>
      </w:rPr>
      <w:drawing>
        <wp:inline distT="0" distB="0" distL="0" distR="0">
          <wp:extent cx="892800" cy="576000"/>
          <wp:effectExtent l="19050" t="0" r="2550" b="0"/>
          <wp:docPr id="7" name="Obraz 6" descr="prow 2007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row 2007_2013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92800" cy="57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724C"/>
    <w:multiLevelType w:val="hybridMultilevel"/>
    <w:tmpl w:val="2B303E4A"/>
    <w:lvl w:ilvl="0" w:tplc="302080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Bezodstpw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Iweta Głód</cp:lastModifiedBy>
  <cp:revision>5</cp:revision>
  <cp:lastPrinted>2017-02-03T07:37:00Z</cp:lastPrinted>
  <dcterms:created xsi:type="dcterms:W3CDTF">2017-02-01T14:19:00Z</dcterms:created>
  <dcterms:modified xsi:type="dcterms:W3CDTF">2017-02-08T13:19:00Z</dcterms:modified>
</cp:coreProperties>
</file>